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505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9588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11.02.2021 N 161</w:t>
            </w:r>
            <w:r>
              <w:rPr>
                <w:sz w:val="48"/>
                <w:szCs w:val="48"/>
              </w:rPr>
              <w:br/>
              <w:t xml:space="preserve">"Об </w:t>
            </w:r>
            <w:r>
              <w:rPr>
                <w:sz w:val="48"/>
                <w:szCs w:val="48"/>
              </w:rPr>
              <w:t>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 w:val="48"/>
                <w:szCs w:val="48"/>
              </w:rPr>
              <w:t>вительства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9588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95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95889">
      <w:pPr>
        <w:pStyle w:val="ConsPlusNormal"/>
        <w:jc w:val="both"/>
        <w:outlineLvl w:val="0"/>
      </w:pPr>
    </w:p>
    <w:p w:rsidR="00000000" w:rsidRDefault="005958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95889">
      <w:pPr>
        <w:pStyle w:val="ConsPlusTitle"/>
        <w:jc w:val="center"/>
      </w:pPr>
    </w:p>
    <w:p w:rsidR="00000000" w:rsidRDefault="00595889">
      <w:pPr>
        <w:pStyle w:val="ConsPlusTitle"/>
        <w:jc w:val="center"/>
      </w:pPr>
      <w:r>
        <w:t>ПОСТАНОВЛЕНИЕ</w:t>
      </w:r>
    </w:p>
    <w:p w:rsidR="00000000" w:rsidRDefault="00595889">
      <w:pPr>
        <w:pStyle w:val="ConsPlusTitle"/>
        <w:jc w:val="center"/>
      </w:pPr>
      <w:r>
        <w:t>от 11 февраля 2021 г. N 161</w:t>
      </w:r>
    </w:p>
    <w:p w:rsidR="00000000" w:rsidRDefault="00595889">
      <w:pPr>
        <w:pStyle w:val="ConsPlusTitle"/>
        <w:jc w:val="center"/>
      </w:pPr>
    </w:p>
    <w:p w:rsidR="00000000" w:rsidRDefault="00595889">
      <w:pPr>
        <w:pStyle w:val="ConsPlusTitle"/>
        <w:jc w:val="center"/>
      </w:pPr>
      <w:r>
        <w:t>ОБ УТВЕРЖДЕНИИ ТРЕБОВАНИЙ</w:t>
      </w:r>
    </w:p>
    <w:p w:rsidR="00000000" w:rsidRDefault="00595889">
      <w:pPr>
        <w:pStyle w:val="ConsPlusTitle"/>
        <w:jc w:val="center"/>
      </w:pPr>
      <w:r>
        <w:t>К РЕГИОНАЛЬНЫМ И МУНИЦИПАЛЬНЫМ ПРОГРАММАМ В ОБЛАСТИ</w:t>
      </w:r>
    </w:p>
    <w:p w:rsidR="00000000" w:rsidRDefault="00595889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595889">
      <w:pPr>
        <w:pStyle w:val="ConsPlusTitle"/>
        <w:jc w:val="center"/>
      </w:pPr>
      <w:r>
        <w:t>И О ПРИЗНАНИИ УТРАТИВШИМИ СИЛУ НЕКОТОРЫХ АКТОВ</w:t>
      </w:r>
    </w:p>
    <w:p w:rsidR="00000000" w:rsidRDefault="00595889">
      <w:pPr>
        <w:pStyle w:val="ConsPlusTitle"/>
        <w:jc w:val="center"/>
      </w:pPr>
      <w:r>
        <w:t>ПРАВИТЕЛЬСТВА РОССИЙСКОЙ ФЕДЕРАЦИИ И ОТДЕЛЬН</w:t>
      </w:r>
      <w:r>
        <w:t>ЫХ</w:t>
      </w:r>
    </w:p>
    <w:p w:rsidR="00000000" w:rsidRDefault="00595889">
      <w:pPr>
        <w:pStyle w:val="ConsPlusTitle"/>
        <w:jc w:val="center"/>
      </w:pPr>
      <w:r>
        <w:t>ПОЛОЖЕНИЙ НЕКОТОРЫХ АКТОВ ПРАВИТЕЛЬСТВА</w:t>
      </w:r>
    </w:p>
    <w:p w:rsidR="00000000" w:rsidRDefault="00595889">
      <w:pPr>
        <w:pStyle w:val="ConsPlusTitle"/>
        <w:jc w:val="center"/>
      </w:pPr>
      <w:r>
        <w:t>РОССИЙСКОЙ ФЕДЕРАЦИИ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"Об энергосбережении и о повышении эне</w:t>
      </w:r>
      <w:r>
        <w:t>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ТРЕБОВАНИЯ" w:history="1">
        <w:r>
          <w:rPr>
            <w:color w:val="0000FF"/>
          </w:rPr>
          <w:t>требования</w:t>
        </w:r>
      </w:hyperlink>
      <w:r>
        <w:t xml:space="preserve"> к региональным и муниципальным программам в области энергосбережения и повышения энергетической эффективности.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строительства и жилищно-коммунального хозяйства Рос</w:t>
      </w:r>
      <w:r>
        <w:t>сийской Федерации и Министерством энергетики Российской Федерации до 1 мая 2021 г. утвердить методику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</w:t>
      </w:r>
      <w:r>
        <w:t>еализации региональных и муниципальных программ в области энергосбережения и повышения энергетической эффективности.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ежегодно проводить коррект</w:t>
      </w:r>
      <w:r>
        <w:t>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4. Признать утративши</w:t>
      </w:r>
      <w:r>
        <w:t xml:space="preserve">ми силу акты Правительства Российской Федерации и отдельные положения актов Правительства Российской Федерации по </w:t>
      </w:r>
      <w:hyperlink w:anchor="Par169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со дня его официального опубликов</w:t>
      </w:r>
      <w:r>
        <w:t>ания.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right"/>
      </w:pPr>
      <w:r>
        <w:t>Председатель Правительства</w:t>
      </w:r>
    </w:p>
    <w:p w:rsidR="00000000" w:rsidRDefault="00595889">
      <w:pPr>
        <w:pStyle w:val="ConsPlusNormal"/>
        <w:jc w:val="right"/>
      </w:pPr>
      <w:r>
        <w:t>Российской Федерации</w:t>
      </w:r>
    </w:p>
    <w:p w:rsidR="00000000" w:rsidRDefault="00595889">
      <w:pPr>
        <w:pStyle w:val="ConsPlusNormal"/>
        <w:jc w:val="right"/>
      </w:pPr>
      <w:r>
        <w:t>М.МИШУСТИН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right"/>
        <w:outlineLvl w:val="0"/>
      </w:pPr>
      <w:r>
        <w:t>Утверждены</w:t>
      </w:r>
    </w:p>
    <w:p w:rsidR="00000000" w:rsidRDefault="00595889">
      <w:pPr>
        <w:pStyle w:val="ConsPlusNormal"/>
        <w:jc w:val="right"/>
      </w:pPr>
      <w:r>
        <w:t>постановлением Правительства</w:t>
      </w:r>
    </w:p>
    <w:p w:rsidR="00000000" w:rsidRDefault="00595889">
      <w:pPr>
        <w:pStyle w:val="ConsPlusNormal"/>
        <w:jc w:val="right"/>
      </w:pPr>
      <w:r>
        <w:t>Российской Федерации</w:t>
      </w:r>
    </w:p>
    <w:p w:rsidR="00000000" w:rsidRDefault="00595889">
      <w:pPr>
        <w:pStyle w:val="ConsPlusNormal"/>
        <w:jc w:val="right"/>
      </w:pPr>
      <w:r>
        <w:t>от 11 февраля 2021 г. N 161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Title"/>
        <w:jc w:val="center"/>
      </w:pPr>
      <w:bookmarkStart w:id="0" w:name="Par34"/>
      <w:bookmarkEnd w:id="0"/>
      <w:r>
        <w:t>ТРЕБОВАНИЯ</w:t>
      </w:r>
    </w:p>
    <w:p w:rsidR="00000000" w:rsidRDefault="00595889">
      <w:pPr>
        <w:pStyle w:val="ConsPlusTitle"/>
        <w:jc w:val="center"/>
      </w:pPr>
      <w:r>
        <w:t>К РЕГИОНАЛЬНЫМ И МУНИЦИПАЛЬНЫМ ПРОГРАММАМ В ОБЛАСТИ</w:t>
      </w:r>
    </w:p>
    <w:p w:rsidR="00000000" w:rsidRDefault="00595889">
      <w:pPr>
        <w:pStyle w:val="ConsPlusTitle"/>
        <w:jc w:val="center"/>
      </w:pPr>
      <w:r>
        <w:t>ЭНЕРГОСБЕРЕЖЕНИЯ И ПОВ</w:t>
      </w:r>
      <w:r>
        <w:t>ЫШЕНИЯ ЭНЕРГЕТИЧЕСКОЙ ЭФФЕКТИВНОСТИ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ind w:firstLine="540"/>
        <w:jc w:val="both"/>
      </w:pPr>
      <w:r>
        <w:t>1. Настоящий документ устанавливает требования к региональным программам и муниципальным программам в области энергосбережения и повышения энергетической эффективности (далее - программы), включающим комплекс мероприяти</w:t>
      </w:r>
      <w:r>
        <w:t>й по энергосбережению и повышению энергетической эффективности, взаимосвязанных по задачам, срокам осуществления, исполнителям и ресурсам, обеспечивающих наиболее эффективное достижение целей и решение задач, направленных на энергосбережение и повышение эн</w:t>
      </w:r>
      <w:r>
        <w:t>ергетической эффективности в субъекте Российской Федерации или в муниципальном образовании.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2. При разработке программ обеспечивается принцип согласованности и сбалансированности программ, разрабатываемых на уровне субъектов Российской Федерации, муниципальных образований и документов стратегического планирования, согласованности деятельности орг</w:t>
      </w:r>
      <w:r>
        <w:t>анов государственной власти Российской Федерации и органов государственной власти субъектов Российской Федерации в области энергосбережения и повышения энергетической эффективности.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3. При разработке программ обеспечивается их увязка с действующими на уров</w:t>
      </w:r>
      <w:r>
        <w:t>не субъектов Российской Федерации, муниципальных образований программами в области развития жилищно-коммунального хозяйства, капитального ремонта жилых и (или) многоквартирных домов.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4. Разработка и реализация программ осуществляются последовательно с учет</w:t>
      </w:r>
      <w:r>
        <w:t>ом результатов реализации ранее принятых документов стратегического планирования, содержащих мероприятия в области энергосбережения и повышения энергетической эффективности, а также в области развития жилищно-коммунального хозяйства, капитального ремонта ж</w:t>
      </w:r>
      <w:r>
        <w:t>илых и (или) многоквартирных домов, и с учетом этапов реализации указанных документов стратегического планирования.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5. Программы должны быть сбалансированы по приоритетам, целям, задачам, мероприятиям, показателям, финансовым и иным ресурсам и срокам реали</w:t>
      </w:r>
      <w:r>
        <w:t>зации.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6. Выбор способов и методов достижения целей развития энергосбережения и повышения энергетической эффективности должен основываться на необходимости достижения заданных результатов (целевых показателей) при наименьших затратах ресурсов.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7. При опред</w:t>
      </w:r>
      <w:r>
        <w:t>елении целей и задач развития энергосбережения и повышения энергетической эффективности необходимо исходить из возможности достижения целей и решения задач в установленные сроки с учетом наличия необходимых ресурсов и возможных рисков.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8. При разработке и </w:t>
      </w:r>
      <w:r>
        <w:t>утверждении программ должны быть определены источники финансового и иного ресурсного обеспечения мероприятий, предусмотренных этими программами.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9. При разработке программ должна быть обеспечена возможность оценки достижения целей развития энергосбережения</w:t>
      </w:r>
      <w:r>
        <w:t xml:space="preserve"> и повышения энергетической эффективности с использованием количественных и (или) качественных целевых показателей, критериев и методов их оценки.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10. Программы должны содержать: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анализ тенденций и проблем в сфере энергосбережения и повышения энергетиче</w:t>
      </w:r>
      <w:r>
        <w:t>ской эффективности на территории субъекта Российской Федерации или муниципального образования;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цели, задачи и приоритеты развития энергосбережения и повышения энергетической эффективности на территории субъекта Российской Федерации или муниципального об</w:t>
      </w:r>
      <w:r>
        <w:t>разования;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основные направления развития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перечень мероприятий по энергосбережению и повышению энергетической эффекти</w:t>
      </w:r>
      <w:r>
        <w:t>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значения целевых показа</w:t>
      </w:r>
      <w:r>
        <w:t>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е) информацию об источниках финансирования мероприятий с указанием отдельно бюджетных (при их на</w:t>
      </w:r>
      <w:r>
        <w:t>личии) и внебюджетных (при их наличии) источников финансирования таких мероприятий.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11. Муниципальные программы в области энергосбережения и повышения энергетической эффективности могут включать в себя мероприятия в области энергосбережения и повышения эне</w:t>
      </w:r>
      <w:r>
        <w:t>ргетической эффективности: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содержащиеся в программах организаций, осуществляющих свою деятельность на территории муниципального образования;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содержащиеся в программах организаций, осуществляющих регулируемые виды деятельности, если цены (тарифы) на т</w:t>
      </w:r>
      <w:r>
        <w:t>овары, услуги таких организаций подлежат установлению органами местного самоуправления;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содержащиеся в программах организаций с участием государства или муниципального образования, государственных (муниципальных) учреждений, реализация которых обеспечит</w:t>
      </w:r>
      <w:r>
        <w:t xml:space="preserve"> достижение потенциала снижения потребления энергетических ресурсов.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12. Мероприятия по энергосбережению и повышению энергетической эффективности формируются с указанием ожидаемых результатов, сроков их выполнения, с учетом возможностей их финансирования з</w:t>
      </w:r>
      <w:r>
        <w:t>а счет бюджетных и внебюджетных средств, средств, полученных с применением регулируемых цен (тарифов), а также с учетом получения согласования собственников имущества, в отношении которого они планируются, в случае если необходимость соответствующего согла</w:t>
      </w:r>
      <w:r>
        <w:t>сования предусмотрена законодательством Российской Федерации.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13. Перечень мероприятий по энергосбережению и повышению энергетической эффективности, подлежащих включению в программы в обязательном порядке, должен включать в себя мероприятия:</w:t>
      </w:r>
    </w:p>
    <w:p w:rsidR="00000000" w:rsidRDefault="00595889">
      <w:pPr>
        <w:pStyle w:val="ConsPlusNormal"/>
        <w:spacing w:before="240"/>
        <w:ind w:firstLine="540"/>
        <w:jc w:val="both"/>
      </w:pPr>
      <w:bookmarkStart w:id="1" w:name="Par60"/>
      <w:bookmarkEnd w:id="1"/>
      <w:r>
        <w:t>а) п</w:t>
      </w:r>
      <w:r>
        <w:t>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по энергосбережению и повышению энергетической эффективн</w:t>
      </w:r>
      <w:r>
        <w:t>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по энергосбережению и повышению энергетической эффективности систем коммунальной инфраструктуры, направленных в том числе н</w:t>
      </w:r>
      <w:r>
        <w:t>а развитие жилищно-коммунального хозяйства;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по выявлению бесхозяйных объектов недвижимого имущества, и</w:t>
      </w:r>
      <w:r>
        <w:t>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</w:t>
      </w:r>
      <w:r>
        <w:t>сти на такие бесхозяйные объекты недвижимого имущества;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</w:t>
      </w:r>
      <w:r>
        <w:t>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</w:t>
      </w:r>
      <w:r>
        <w:t xml:space="preserve"> в соответствии с законодательством Российской Федерации;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</w:t>
      </w:r>
      <w:r>
        <w:t>ресурсов;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з)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и) по энергосбережению в транспортном комплексе и повышению его энергетической эффективно</w:t>
      </w:r>
      <w:r>
        <w:t>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</w:t>
      </w:r>
      <w:r>
        <w:t>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</w:t>
      </w:r>
      <w:r>
        <w:t>кого замещения;</w:t>
      </w:r>
    </w:p>
    <w:p w:rsidR="00000000" w:rsidRDefault="00595889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л) по информационному обеспечению указанных в </w:t>
      </w:r>
      <w:hyperlink w:anchor="Par60" w:tooltip="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9" w:tooltip="к) по иным вопросам, определенным органом государственной власти субъекта Российской Федерации, органом местного самоуправления;" w:history="1">
        <w:r>
          <w:rPr>
            <w:color w:val="0000FF"/>
          </w:rPr>
          <w:t>"к"</w:t>
        </w:r>
      </w:hyperlink>
      <w:r>
        <w:t xml:space="preserve">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</w:t>
      </w:r>
      <w:r>
        <w:t xml:space="preserve"> энергетической эффективности.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14. Примерный перечень иных мероприятий по энергосбережению и повышению энергетической эффективности, которые могут быть дополнительно включены в программы: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мероприятия, проведение которых возможно с использованием внебюдж</w:t>
      </w:r>
      <w:r>
        <w:t>етных средств, полученных также с применением регулируемых цен (тарифов);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мероприятия по учету в инвестиционных и производственных программах производителей электрической и тепловой энергии, электросетевых организаций, теплосетевых организаций, организа</w:t>
      </w:r>
      <w:r>
        <w:t>ций, осуществляющих водоснабжение и водоотведение,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мероприя</w:t>
      </w:r>
      <w:r>
        <w:t>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</w:t>
      </w:r>
      <w:r>
        <w:t>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мероприятия по пред</w:t>
      </w:r>
      <w:r>
        <w:t>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а также проведение энергетических обследований;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мероприятия по мод</w:t>
      </w:r>
      <w:r>
        <w:t>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</w:t>
      </w:r>
      <w:r>
        <w:t>ий и технологий в целях повышения энергетической эффективности;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е) мероприятия, направленные на снижение потребления энергетических ресурсов на собственные нужды;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ж) мероприятия по сокращению потерь электрической энергии, тепловой энергии при их передаче;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з) мероприятия по сокращению объемов электрической энергии, используемой при передаче (транспортировке) воды;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и) мероприятия по сокращению потерь воды при ее передаче;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к) мероприятия по обучению в области энергосбережения и повышения энергетической эффекти</w:t>
      </w:r>
      <w:r>
        <w:t>вности;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л) 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</w:t>
      </w:r>
      <w:r>
        <w:t xml:space="preserve">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</w:t>
      </w:r>
      <w:r>
        <w:t>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15. В программы т</w:t>
      </w:r>
      <w:r>
        <w:t>акже могут дополнительно включаться мероприятия, предусмотренные примерным перечнем мероприятий в области энергосбережения и повышения энергетической эффективности, утвержденным уполномоченным федеральным органом исполнительной власти.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16. Целевые показате</w:t>
      </w:r>
      <w:r>
        <w:t>ли в области энергосбережения и повышения энергетической эффективности (далее - целевые показатели), содержащиеся в программах и дополнительно вводимые при их корректировке, а также при оценке эффективности деятельности органов исполнительной власти субъек</w:t>
      </w:r>
      <w:r>
        <w:t>тов Российской Федерации и органов местного самоуправления, должны соответствовать целям развития энергосбережения и повышения энергетической эффективности и обеспечивать возможность оценки экономического эффекта от реализации программ.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Значения целевых по</w:t>
      </w:r>
      <w:r>
        <w:t>казателей должны отражать: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повышение эффективности использования энергетических ресурсов в жилищном фонде;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повышение эффективности использования энергетических ресурсов в системах коммунальной инфраструктуры;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сокращение потерь энергетических ресур</w:t>
      </w:r>
      <w:r>
        <w:t>сов при их передаче, в том числе в системах коммунальной инфраструктуры;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повышение уровня оснащенности приборами учета используемых энергетических ресурсов;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увеличение количества объектов, использующих в качестве источников энергии вторичные энергети</w:t>
      </w:r>
      <w:r>
        <w:t>ческие ресурсы и (или) возобновляемые источники энергии;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</w:t>
      </w:r>
      <w:r>
        <w:t>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</w:t>
      </w:r>
      <w:r>
        <w:t>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</w:t>
      </w:r>
      <w:r>
        <w:t>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</w:t>
      </w:r>
      <w:r>
        <w:t>орного топлива и экономической целесообразности такого замещения;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ж)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</w:t>
      </w:r>
      <w:r>
        <w:t>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</w:t>
      </w:r>
      <w:r>
        <w:t xml:space="preserve"> объема использования энергетических ресурсов в указанных сферах;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з) увеличение объема внебюджетных средств, используемых на финансирование мероприятий.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17.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программ, осуществляется уполномоченным органом исполнительной власти субъекта Российской</w:t>
      </w:r>
      <w:r>
        <w:t xml:space="preserve">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18. Планируемые и фактически достигнутые в ходе реализации программ значения ц</w:t>
      </w:r>
      <w:r>
        <w:t>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19. Целевые показатели, предусматриваемые программами, отражающие динамику (изменение) по</w:t>
      </w:r>
      <w:r>
        <w:t>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как отношение колич</w:t>
      </w:r>
      <w:r>
        <w:t>ества объектов, оснащенных приборами учета, к общему количеству таких объектов, подключенных к электрическим сетям централизованного электроснабжения, и (или) централизованного теплоснабжения, и (или) централизованного водоснабжения, и (или) централизованн</w:t>
      </w:r>
      <w:r>
        <w:t>ого газоснабжения.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При расчете значений целевых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</w:t>
      </w:r>
      <w:r>
        <w:t>ргетической эффективности, изменением численности населения субъекта Российской Федерации или муниципального образования.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20. К обязательным целевым показателям для включения в региональные муниципальные программы в области энергосбережения и повышения эне</w:t>
      </w:r>
      <w:r>
        <w:t>ргетической эффективности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целевые показатели, характеризующие оснащенность приборами учета используемых энергетических ресурсов;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целевые показатели, характеризующие уровень использования источников тепловой энергии, функционирующих в режим</w:t>
      </w:r>
      <w:r>
        <w:t>е комбинированной выработки тепловой и электрической энергии, и (или) возобновляемых источников энергии;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целевые показатели в государственном секторе;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целевые показатели в жилищном фонде;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д) целевые показатели в промышленности, энергетике и системах </w:t>
      </w:r>
      <w:r>
        <w:t>коммунальной инфраструктуры;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е) целевые показатели в транспортном комплексе.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21. К целевым показателям, характеризующим оснащенность приборами учета используемых энергетических ресурсов (для муниципальных программ указывается целевой показатель по муниципа</w:t>
      </w:r>
      <w:r>
        <w:t>льному образованию, для региональных программ - целевой показатель по субъекту Российской Федерации в целом),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доля многоквартирных домов, оснащенных коллективными (общедомовыми) приборами учета используемых энергетических ресурсов по видам ко</w:t>
      </w:r>
      <w:r>
        <w:t>ммунальных ресурсов в общем числе многоквартирных домов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</w:t>
      </w:r>
      <w:r>
        <w:t>х ресурсов в общем количестве жилых, нежилых помещений в многоквартирных домах, жилых домах (домовладениях)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доля потребляемых государственными (муниципальными) учреждениями природного газа, тепловой энергии, электрической энергии и воды, пр</w:t>
      </w:r>
      <w:r>
        <w:t>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22. К целевым показателям, характеризующим уровень использования источник</w:t>
      </w:r>
      <w:r>
        <w:t>ов тепловой энергии, функционирующих в режиме комбинированной выработки тепловой и электрической энергии, и (или) возобновляемых источников энергии (для муниципальных программ указывается целевой показатель по муниципальному образованию, для региональных п</w:t>
      </w:r>
      <w:r>
        <w:t>рограмм - целевой показатель по субъекту Российской Федерации в целом),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</w:t>
      </w:r>
      <w:r>
        <w:t>бщем объеме производства тепловой энергии в системах централизованного теплоснабжения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</w:t>
      </w:r>
      <w:r>
        <w:t>ой мощностью свыше 25 МВт (МВт).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23. К целевым показателям, характеризующим потребление энергетических ресурсов в государственных (муниципальных) организациях, находящихся в ведении органов государственной власти субъекта Российской Федерации (органов мест</w:t>
      </w:r>
      <w:r>
        <w:t>ного самоуправления)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удельный расход тепловой энергии зданиями</w:t>
      </w:r>
      <w:r>
        <w:t xml:space="preserve"> и помещениями учебно-воспитательного назначения (Гкал/м</w:t>
      </w:r>
      <w:r>
        <w:rPr>
          <w:vertAlign w:val="superscript"/>
        </w:rPr>
        <w:t>2</w:t>
      </w:r>
      <w:r>
        <w:t>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удельный расход электрической энергии зданиями и помещениями учебно-воспитательного назначения (кВт·ч/м</w:t>
      </w:r>
      <w:r>
        <w:rPr>
          <w:vertAlign w:val="superscript"/>
        </w:rPr>
        <w:t>2</w:t>
      </w:r>
      <w:r>
        <w:t>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удельный расход тепловой энергии зданиями и помещениями здравоохранения и социально</w:t>
      </w:r>
      <w:r>
        <w:t>го обслуживания населения (Гкал/м</w:t>
      </w:r>
      <w:r>
        <w:rPr>
          <w:vertAlign w:val="superscript"/>
        </w:rPr>
        <w:t>2</w:t>
      </w:r>
      <w:r>
        <w:t>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удельный расход электрической энергии зданиями и помещениями здравоохранения и социального обслуживания населения (кВт·ч/м</w:t>
      </w:r>
      <w:r>
        <w:rPr>
          <w:vertAlign w:val="superscript"/>
        </w:rPr>
        <w:t>2</w:t>
      </w:r>
      <w:r>
        <w:t>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объем потребления дизельного и иного топлива, мазута, природного газа, тепловой энергии</w:t>
      </w:r>
      <w:r>
        <w:t>, электрической энергии, угля и воды государственным (муниципальным) учреждением (т, м</w:t>
      </w:r>
      <w:r>
        <w:rPr>
          <w:vertAlign w:val="superscript"/>
        </w:rPr>
        <w:t>3</w:t>
      </w:r>
      <w:r>
        <w:t>, Гкал, кВт·ч).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24. К целевым показателям, характеризующим использование энергетических ресурсов в жилищно-коммунальном хозяйстве (для муниципальных программ указывается</w:t>
      </w:r>
      <w:r>
        <w:t xml:space="preserve">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доля многоквартирных домов, имеющих класс энергетической эффективности "B" и выше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уде</w:t>
      </w:r>
      <w:r>
        <w:t>льный расход тепловой энергии в многоквартирных домах (Гкал/м</w:t>
      </w:r>
      <w:r>
        <w:rPr>
          <w:vertAlign w:val="superscript"/>
        </w:rPr>
        <w:t>2</w:t>
      </w:r>
      <w:r>
        <w:t>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удельный расход электрической энергии в многоквартирных домах (кВт·ч/м</w:t>
      </w:r>
      <w:r>
        <w:rPr>
          <w:vertAlign w:val="superscript"/>
        </w:rPr>
        <w:t>2</w:t>
      </w:r>
      <w:r>
        <w:t>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удельный расход холодной воды в многоквартирных домах (в расчете на 1 жителя) (куб. м/чел);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удельный расход горячей воды в многоквартирных домах (в расчете на 1 жителя) (куб. м/чел).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25. К целевым показателям, характеризующим использование энергетических ресурсов в промышленности, энергетике и системах коммунальной инфраструктуры (для муниципа</w:t>
      </w:r>
      <w:r>
        <w:t>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а) энергоемкость промышленного производства для производства 3 видов продукции</w:t>
      </w:r>
      <w:r>
        <w:t>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(т. ут/ед. продукции);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удельный расход топлива на отпуск электрич</w:t>
      </w:r>
      <w:r>
        <w:t>еской энергии тепловыми электростанциями (г. ут/кВт·ч);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удельный расход топлива на отпущенную тепловую энергию с коллекторов тепловых электростанций (кг. ут/Гкал);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удельный расход топлива на отпущенную с коллекторов котельных в тепловую сеть тепловую</w:t>
      </w:r>
      <w:r>
        <w:t xml:space="preserve"> энергию (кг. ут/Гкал);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доля потерь электрической энергии при ее передаче по распределительным сетям в общем объеме переданной электрической энергии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е) доля потерь тепловой энергии при ее передаче в общем объеме переданной тепловой энергии </w:t>
      </w:r>
      <w:r>
        <w:t>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ж) доля энергоэффективных источников света в системах уличного освещения (процентов).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26. К целевым показателям, характеризующим использование энергетических ресурсов в транспортном комплексе (для муниципальных программ указывается целевой пок</w:t>
      </w:r>
      <w:r>
        <w:t>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а) количество высокоэкономичных по использованию моторного топлива и электрической энергии (в том числе относящихся </w:t>
      </w:r>
      <w:r>
        <w:t>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</w:t>
      </w:r>
      <w:r>
        <w:t>ниц);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б)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</w:t>
      </w:r>
      <w:r>
        <w:t>ьным образованием) (единиц);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количе</w:t>
      </w:r>
      <w:r>
        <w:t>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количество транспортных средств с автономным источником электрического пит</w:t>
      </w:r>
      <w:r>
        <w:t>ания, относящихся к общественному транспорту, зарегистрированных на территории субъекта Российской Федерации (муниципального образования) (единиц).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27. По решению органа государственной власти субъекта Российской Федерации, органа местного самоуправления п</w:t>
      </w:r>
      <w:r>
        <w:t>ри разработке программ в области энергосбережения и повышения энергетической эффективности могут устанавливаться следующие дополнительные целевые показатели: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а) количество энергосервисных договоров (контрактов), заключенных органами государственной власти </w:t>
      </w:r>
      <w:r>
        <w:t>субъекта Российской Федерации (органами местного самоуправления), государственными (муниципальными) учреждениями, находящимися в ведении органов государственной власти субъекта Российской Федерации (органов местного самоуправления), предметом которых являе</w:t>
      </w:r>
      <w:r>
        <w:t>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указанного субъекта Российской Федерации (муниципального образования) (единиц);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б) объем </w:t>
      </w:r>
      <w:r>
        <w:t>субсидий организациям коммунального комплекса на приобретение топлива, субсидий гражданам на внесение платы за коммунальные услуги из бюджета соответствующего уровня (тыс. рублей);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в) доля энергоэффективных капитальных ремонтов многоквартирных домов в обще</w:t>
      </w:r>
      <w:r>
        <w:t>м объеме проведенных капитальных ремонтов многоквартирных домов на территории субъекта Российской Федерации (муниципального образования)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г) доля объема электрической энергии, расчеты за которую осуществляются с использованием приборов учета, в</w:t>
      </w:r>
      <w:r>
        <w:t xml:space="preserve"> общем объеме электрической энергии, потребляемой (используемой) на территории субъекта Российской Федерации (муниципального образования)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д) доля объема тепловой энергии, расчеты за которую осуществляются с использованием приборов учета, в общ</w:t>
      </w:r>
      <w:r>
        <w:t>ем объеме тепловой энергии, потребляемой (используемой) на территории субъекта Российской Федерации (муниципального образования)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е) доля объема холодной воды, расчеты за которую осуществляются с использованием приборов учета, в общем объеме во</w:t>
      </w:r>
      <w:r>
        <w:t>ды, потребляемой (используемой) на территории субъекта Российской Федерации (муниципального образования)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ж) доля объема горячей воды, расчеты за которую осуществляются с использованием приборов учета, в общем объеме воды, потребляемой (использ</w:t>
      </w:r>
      <w:r>
        <w:t>уемой) на территории субъекта Российской Федерации (муниципального образования)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з)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</w:t>
      </w:r>
      <w:r>
        <w:t xml:space="preserve"> территории субъекта Российской Федерации (муниципального образования)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и)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</w:t>
      </w:r>
      <w:r>
        <w:t>ских ресурсов, производимых на территории субъекта Российской Федерации (муниципального образования);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к) удельный расход тепловой энергии на снабжение органов государственной власти субъекта Российской Федерации (органов местного самоуправления) и государс</w:t>
      </w:r>
      <w:r>
        <w:t>твенных учреждений субъекта Российской Федерации (муниципальных учреждений муниципального образования) (в расчете на 1 кв. метр общей площади);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л) удельный расход электрической энергии на снабжение органов государственной власти субъекта Российской Федерац</w:t>
      </w:r>
      <w:r>
        <w:t>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м) удельный расход холодной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</w:t>
      </w:r>
      <w:r>
        <w:t xml:space="preserve"> расчете на 1 человека);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н) удельный расход горячей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</w:t>
      </w:r>
      <w:r>
        <w:t>пального образования) (в расчете на 1 человека);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о) удельный расход природного газа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</w:t>
      </w:r>
      <w:r>
        <w:t>ципальных учреждений муниципального образования) (в расчете на 1 человека);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п) доля потерь воды в централизованных системах водоснабжения при транспортировке в общем объеме воды, поданной в водопроводную сеть (процентов);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р) удельное количество тепловой эн</w:t>
      </w:r>
      <w:r>
        <w:t>ергии, расходуемое на подогрев горячей воды (Гкал/куб. м);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с)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(кВт·ч/куб. м);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т) удельный расход электрическ</w:t>
      </w:r>
      <w:r>
        <w:t>ой энергии, потребляемой в технологическом процессе транспортировки питьевой воды, на единицу объема транспортируемой воды (кВт·ч/куб. м);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у) удельный расход электрической энергии, потребляемой в технологическом процессе очистки сточных вод, на единицу объ</w:t>
      </w:r>
      <w:r>
        <w:t>ема очищаемых сточных вод (кВт·ч/куб. м);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>ф)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(кВт·ч/куб. м).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right"/>
        <w:outlineLvl w:val="0"/>
      </w:pPr>
      <w:r>
        <w:t>Приложение</w:t>
      </w:r>
    </w:p>
    <w:p w:rsidR="00000000" w:rsidRDefault="00595889">
      <w:pPr>
        <w:pStyle w:val="ConsPlusNormal"/>
        <w:jc w:val="right"/>
      </w:pPr>
      <w:r>
        <w:t>к постановлению Правител</w:t>
      </w:r>
      <w:r>
        <w:t>ьства</w:t>
      </w:r>
    </w:p>
    <w:p w:rsidR="00000000" w:rsidRDefault="00595889">
      <w:pPr>
        <w:pStyle w:val="ConsPlusNormal"/>
        <w:jc w:val="right"/>
      </w:pPr>
      <w:r>
        <w:t>Российской Федерации</w:t>
      </w:r>
    </w:p>
    <w:p w:rsidR="00000000" w:rsidRDefault="00595889">
      <w:pPr>
        <w:pStyle w:val="ConsPlusNormal"/>
        <w:jc w:val="right"/>
      </w:pPr>
      <w:r>
        <w:t>от 11 февраля 2021 г. N 161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Title"/>
        <w:jc w:val="center"/>
      </w:pPr>
      <w:bookmarkStart w:id="3" w:name="Par169"/>
      <w:bookmarkEnd w:id="3"/>
      <w:r>
        <w:t>ПЕРЕЧЕНЬ</w:t>
      </w:r>
    </w:p>
    <w:p w:rsidR="00000000" w:rsidRDefault="00595889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00000" w:rsidRDefault="00595889">
      <w:pPr>
        <w:pStyle w:val="ConsPlusTitle"/>
        <w:jc w:val="center"/>
      </w:pPr>
      <w:r>
        <w:t>И ОТДЕЛЬНЫХ ПОЛОЖЕНИЙ АКТОВ ПРАВИТЕЛЬСТВА</w:t>
      </w:r>
    </w:p>
    <w:p w:rsidR="00000000" w:rsidRDefault="00595889">
      <w:pPr>
        <w:pStyle w:val="ConsPlusTitle"/>
        <w:jc w:val="center"/>
      </w:pPr>
      <w:r>
        <w:t>РОССИЙСКОЙ ФЕДЕРАЦИИ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 (Собрание законода</w:t>
      </w:r>
      <w:r>
        <w:t>тельства Российской Федерации, 2010, N 6, ст. 645).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32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"Об изменении и признании утратившими силу некоторых актов Правительства Российской Федераци</w:t>
      </w:r>
      <w:r>
        <w:t>и" (Собрание законодательства Российской Федерации, 2010, N 52, ст. 7104).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июля 2013 г. N 593 "О внесении изм</w:t>
      </w:r>
      <w:r>
        <w:t>енений в некоторые акты Правительства Российской Федерации" (Собрание законодательства Российской Федерации, 2013, N 29, ст. 3970).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</w:t>
      </w:r>
      <w:r>
        <w:t>ийской Федерации от 22 июля 2013 г. N 615 "О внесении изменений в приложение N 2 к постановлению Правительства Российской Федерации от 31 декабря 2009 г. N 1225" (Собрание законодательства Российской Федерации, 2013, N 30, ст. 4122).</w:t>
      </w:r>
    </w:p>
    <w:p w:rsidR="00000000" w:rsidRDefault="00595889">
      <w:pPr>
        <w:pStyle w:val="ConsPlusNormal"/>
        <w:spacing w:before="24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61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марта 2014 г. N 23</w:t>
      </w:r>
      <w:r>
        <w:t>0 "О внесении изменений в некоторые акты Правительства Российской Федерации" (Собрание законодательства Российской Федерации, 2014, N 14, ст. 1627).</w:t>
      </w:r>
    </w:p>
    <w:p w:rsidR="00000000" w:rsidRDefault="00595889">
      <w:pPr>
        <w:pStyle w:val="ConsPlusNormal"/>
        <w:jc w:val="both"/>
      </w:pPr>
    </w:p>
    <w:p w:rsidR="00000000" w:rsidRDefault="00595889">
      <w:pPr>
        <w:pStyle w:val="ConsPlusNormal"/>
        <w:jc w:val="both"/>
      </w:pPr>
    </w:p>
    <w:p w:rsidR="00595889" w:rsidRDefault="00595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5889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89" w:rsidRDefault="00595889">
      <w:pPr>
        <w:spacing w:after="0" w:line="240" w:lineRule="auto"/>
      </w:pPr>
      <w:r>
        <w:separator/>
      </w:r>
    </w:p>
  </w:endnote>
  <w:endnote w:type="continuationSeparator" w:id="1">
    <w:p w:rsidR="00595889" w:rsidRDefault="005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58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8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88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88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45054">
            <w:rPr>
              <w:sz w:val="20"/>
              <w:szCs w:val="20"/>
            </w:rPr>
            <w:fldChar w:fldCharType="separate"/>
          </w:r>
          <w:r w:rsidR="00545054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45054">
            <w:rPr>
              <w:sz w:val="20"/>
              <w:szCs w:val="20"/>
            </w:rPr>
            <w:fldChar w:fldCharType="separate"/>
          </w:r>
          <w:r w:rsidR="00545054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958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89" w:rsidRDefault="00595889">
      <w:pPr>
        <w:spacing w:after="0" w:line="240" w:lineRule="auto"/>
      </w:pPr>
      <w:r>
        <w:separator/>
      </w:r>
    </w:p>
  </w:footnote>
  <w:footnote w:type="continuationSeparator" w:id="1">
    <w:p w:rsidR="00595889" w:rsidRDefault="0059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8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</w:t>
          </w:r>
          <w:r>
            <w:rPr>
              <w:sz w:val="16"/>
              <w:szCs w:val="16"/>
            </w:rPr>
            <w:t>т 11.02.2021 N 161</w:t>
          </w:r>
          <w:r>
            <w:rPr>
              <w:sz w:val="16"/>
              <w:szCs w:val="16"/>
            </w:rPr>
            <w:br/>
            <w:t>"Об утверждении требований к региональным и муниципальным программам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889">
          <w:pPr>
            <w:pStyle w:val="ConsPlusNormal"/>
            <w:jc w:val="center"/>
          </w:pPr>
        </w:p>
        <w:p w:rsidR="00000000" w:rsidRDefault="0059588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58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28.07.2021</w:t>
          </w:r>
        </w:p>
      </w:tc>
    </w:tr>
  </w:tbl>
  <w:p w:rsidR="00000000" w:rsidRDefault="005958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58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A2222"/>
    <w:rsid w:val="00545054"/>
    <w:rsid w:val="00595889"/>
    <w:rsid w:val="00C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149849&amp;date=28.07.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17011&amp;date=28.07.20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294298&amp;date=28.07.2021&amp;dst=100085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150017&amp;date=28.07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87003&amp;date=28.07.2021&amp;dst=40&amp;fld=134" TargetMode="External"/><Relationship Id="rId14" Type="http://schemas.openxmlformats.org/officeDocument/2006/relationships/hyperlink" Target="https://login.consultant.ru/link/?req=doc&amp;base=RZR&amp;n=356885&amp;date=28.07.2021&amp;dst=10011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5083</Words>
  <Characters>28978</Characters>
  <Application>Microsoft Office Word</Application>
  <DocSecurity>2</DocSecurity>
  <Lines>241</Lines>
  <Paragraphs>67</Paragraphs>
  <ScaleCrop>false</ScaleCrop>
  <Company>КонсультантПлюс Версия 4018.00.50</Company>
  <LinksUpToDate>false</LinksUpToDate>
  <CharactersWithSpaces>33994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11.02.2021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</dc:title>
  <dc:creator>Ирина Николаевна</dc:creator>
  <cp:lastModifiedBy>Ирина Николаевна</cp:lastModifiedBy>
  <cp:revision>2</cp:revision>
  <dcterms:created xsi:type="dcterms:W3CDTF">2021-07-28T10:59:00Z</dcterms:created>
  <dcterms:modified xsi:type="dcterms:W3CDTF">2021-07-28T10:59:00Z</dcterms:modified>
</cp:coreProperties>
</file>